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C2A5F" w14:textId="08C445F8" w:rsidR="006F65E5" w:rsidRDefault="006F65E5" w:rsidP="006F65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 xml:space="preserve">ЗАТВЕРДЖЕНО </w:t>
      </w:r>
    </w:p>
    <w:p w14:paraId="08E54389" w14:textId="6D70483E" w:rsidR="006F65E5" w:rsidRDefault="006F65E5" w:rsidP="006F65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 xml:space="preserve">Наказ </w:t>
      </w:r>
      <w:r>
        <w:rPr>
          <w:rFonts w:ascii="Times New Roman" w:hAnsi="Times New Roman" w:cs="Times New Roman"/>
          <w:sz w:val="28"/>
          <w:szCs w:val="28"/>
        </w:rPr>
        <w:t>Головного управління</w:t>
      </w:r>
    </w:p>
    <w:p w14:paraId="68169486" w14:textId="2FF7F5BF" w:rsidR="006F65E5" w:rsidRDefault="006F65E5" w:rsidP="006F65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Держ</w:t>
      </w:r>
      <w:r>
        <w:rPr>
          <w:rFonts w:ascii="Times New Roman" w:hAnsi="Times New Roman" w:cs="Times New Roman"/>
          <w:sz w:val="28"/>
          <w:szCs w:val="28"/>
        </w:rPr>
        <w:t xml:space="preserve">продспоживслужби </w:t>
      </w:r>
    </w:p>
    <w:p w14:paraId="323FE010" w14:textId="4980B837" w:rsidR="006F65E5" w:rsidRDefault="006F65E5" w:rsidP="006F65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Полтавській області</w:t>
      </w:r>
      <w:r w:rsidRPr="006F65E5">
        <w:rPr>
          <w:rFonts w:ascii="Times New Roman" w:hAnsi="Times New Roman" w:cs="Times New Roman"/>
          <w:sz w:val="28"/>
          <w:szCs w:val="28"/>
        </w:rPr>
        <w:t xml:space="preserve"> </w:t>
      </w:r>
    </w:p>
    <w:p w14:paraId="62CF4D51" w14:textId="394B0C5E" w:rsidR="00A14B4E" w:rsidRDefault="006F65E5" w:rsidP="006F65E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9618C">
        <w:rPr>
          <w:rFonts w:ascii="Times New Roman" w:hAnsi="Times New Roman" w:cs="Times New Roman"/>
          <w:sz w:val="28"/>
          <w:szCs w:val="28"/>
        </w:rPr>
        <w:t xml:space="preserve">від 20.11.2025 </w:t>
      </w:r>
      <w:r>
        <w:rPr>
          <w:rFonts w:ascii="Times New Roman" w:hAnsi="Times New Roman" w:cs="Times New Roman"/>
          <w:sz w:val="28"/>
          <w:szCs w:val="28"/>
        </w:rPr>
        <w:t xml:space="preserve"> </w:t>
      </w:r>
      <w:r w:rsidRPr="006F65E5">
        <w:rPr>
          <w:rFonts w:ascii="Times New Roman" w:hAnsi="Times New Roman" w:cs="Times New Roman"/>
          <w:sz w:val="28"/>
          <w:szCs w:val="28"/>
        </w:rPr>
        <w:t>№</w:t>
      </w:r>
      <w:r w:rsidR="0049618C">
        <w:rPr>
          <w:rFonts w:ascii="Times New Roman" w:hAnsi="Times New Roman" w:cs="Times New Roman"/>
          <w:sz w:val="28"/>
          <w:szCs w:val="28"/>
        </w:rPr>
        <w:t>1720-ОД</w:t>
      </w:r>
      <w:bookmarkStart w:id="0" w:name="_GoBack"/>
      <w:bookmarkEnd w:id="0"/>
    </w:p>
    <w:p w14:paraId="2379BA9E" w14:textId="0FF8F2CD" w:rsidR="006F65E5" w:rsidRPr="006F65E5" w:rsidRDefault="006F65E5" w:rsidP="006F65E5">
      <w:pPr>
        <w:spacing w:after="0" w:line="240" w:lineRule="auto"/>
        <w:rPr>
          <w:rFonts w:ascii="Times New Roman" w:hAnsi="Times New Roman" w:cs="Times New Roman"/>
          <w:sz w:val="28"/>
          <w:szCs w:val="28"/>
        </w:rPr>
      </w:pPr>
    </w:p>
    <w:p w14:paraId="5C2109CE" w14:textId="77777777" w:rsidR="006F65E5" w:rsidRDefault="006F65E5" w:rsidP="006F65E5">
      <w:pPr>
        <w:spacing w:after="0" w:line="240" w:lineRule="auto"/>
        <w:jc w:val="center"/>
        <w:rPr>
          <w:rFonts w:ascii="Times New Roman" w:hAnsi="Times New Roman" w:cs="Times New Roman"/>
          <w:sz w:val="28"/>
          <w:szCs w:val="28"/>
        </w:rPr>
      </w:pPr>
      <w:r w:rsidRPr="006F65E5">
        <w:rPr>
          <w:rFonts w:ascii="Times New Roman" w:hAnsi="Times New Roman" w:cs="Times New Roman"/>
          <w:sz w:val="28"/>
          <w:szCs w:val="28"/>
        </w:rPr>
        <w:t>ТИПОВА ІНФОРМАЦІЙНА КАРТКА</w:t>
      </w:r>
    </w:p>
    <w:p w14:paraId="684103C4" w14:textId="25DE4AC5" w:rsidR="006F65E5" w:rsidRDefault="006F65E5" w:rsidP="006F65E5">
      <w:pPr>
        <w:spacing w:after="0" w:line="240" w:lineRule="auto"/>
        <w:jc w:val="center"/>
        <w:rPr>
          <w:rFonts w:ascii="Times New Roman" w:hAnsi="Times New Roman" w:cs="Times New Roman"/>
          <w:sz w:val="28"/>
          <w:szCs w:val="28"/>
        </w:rPr>
      </w:pPr>
      <w:r w:rsidRPr="006F65E5">
        <w:rPr>
          <w:rFonts w:ascii="Times New Roman" w:hAnsi="Times New Roman" w:cs="Times New Roman"/>
          <w:sz w:val="28"/>
          <w:szCs w:val="28"/>
        </w:rPr>
        <w:t xml:space="preserve"> видачі експлуатаційного дозволу на потужність для операторів ринку кормів </w:t>
      </w:r>
      <w:r w:rsidRPr="006F65E5">
        <w:rPr>
          <w:rFonts w:ascii="Times New Roman" w:hAnsi="Times New Roman" w:cs="Times New Roman"/>
          <w:sz w:val="18"/>
          <w:szCs w:val="18"/>
        </w:rPr>
        <w:t>_____________________________________</w:t>
      </w:r>
      <w:r>
        <w:rPr>
          <w:rFonts w:ascii="Times New Roman" w:hAnsi="Times New Roman" w:cs="Times New Roman"/>
          <w:sz w:val="18"/>
          <w:szCs w:val="18"/>
        </w:rPr>
        <w:t>_____________________________</w:t>
      </w:r>
      <w:r w:rsidRPr="006F65E5">
        <w:rPr>
          <w:rFonts w:ascii="Times New Roman" w:hAnsi="Times New Roman" w:cs="Times New Roman"/>
          <w:sz w:val="18"/>
          <w:szCs w:val="18"/>
        </w:rPr>
        <w:t>_</w:t>
      </w:r>
    </w:p>
    <w:p w14:paraId="5A254DBB" w14:textId="33C8251B" w:rsidR="006F65E5" w:rsidRPr="006F65E5" w:rsidRDefault="006F65E5" w:rsidP="006F65E5">
      <w:pPr>
        <w:spacing w:after="0" w:line="240" w:lineRule="auto"/>
        <w:jc w:val="center"/>
        <w:rPr>
          <w:rFonts w:ascii="Times New Roman" w:hAnsi="Times New Roman" w:cs="Times New Roman"/>
          <w:sz w:val="24"/>
          <w:szCs w:val="24"/>
        </w:rPr>
      </w:pPr>
      <w:r w:rsidRPr="006F65E5">
        <w:rPr>
          <w:rFonts w:ascii="Times New Roman" w:hAnsi="Times New Roman" w:cs="Times New Roman"/>
          <w:sz w:val="24"/>
          <w:szCs w:val="24"/>
        </w:rPr>
        <w:t xml:space="preserve">(назва адміністративної послуги) </w:t>
      </w:r>
    </w:p>
    <w:p w14:paraId="204452C1" w14:textId="77777777" w:rsidR="006F65E5" w:rsidRDefault="006F65E5" w:rsidP="006F65E5">
      <w:pPr>
        <w:spacing w:after="0" w:line="240" w:lineRule="auto"/>
        <w:jc w:val="center"/>
        <w:rPr>
          <w:rFonts w:ascii="Times New Roman" w:hAnsi="Times New Roman" w:cs="Times New Roman"/>
          <w:sz w:val="28"/>
          <w:szCs w:val="28"/>
        </w:rPr>
      </w:pPr>
    </w:p>
    <w:p w14:paraId="62536149" w14:textId="77777777" w:rsidR="006F65E5" w:rsidRDefault="006F65E5" w:rsidP="006F65E5">
      <w:pPr>
        <w:spacing w:after="0" w:line="240" w:lineRule="auto"/>
        <w:jc w:val="center"/>
        <w:rPr>
          <w:rFonts w:ascii="Times New Roman" w:hAnsi="Times New Roman" w:cs="Times New Roman"/>
          <w:sz w:val="28"/>
          <w:szCs w:val="28"/>
        </w:rPr>
      </w:pPr>
      <w:r w:rsidRPr="006F65E5">
        <w:rPr>
          <w:rFonts w:ascii="Times New Roman" w:hAnsi="Times New Roman" w:cs="Times New Roman"/>
          <w:sz w:val="28"/>
          <w:szCs w:val="28"/>
        </w:rPr>
        <w:t xml:space="preserve">Головне управління Держпродспоживслужби в </w:t>
      </w:r>
      <w:r>
        <w:rPr>
          <w:rFonts w:ascii="Times New Roman" w:hAnsi="Times New Roman" w:cs="Times New Roman"/>
          <w:sz w:val="28"/>
          <w:szCs w:val="28"/>
        </w:rPr>
        <w:t xml:space="preserve">Полтавській </w:t>
      </w:r>
      <w:r w:rsidRPr="006F65E5">
        <w:rPr>
          <w:rFonts w:ascii="Times New Roman" w:hAnsi="Times New Roman" w:cs="Times New Roman"/>
          <w:sz w:val="28"/>
          <w:szCs w:val="28"/>
        </w:rPr>
        <w:t>області</w:t>
      </w:r>
    </w:p>
    <w:p w14:paraId="4C9DAB51" w14:textId="242050E5" w:rsidR="006F65E5" w:rsidRDefault="006F65E5" w:rsidP="006F65E5">
      <w:pPr>
        <w:spacing w:after="0" w:line="240" w:lineRule="auto"/>
        <w:jc w:val="center"/>
        <w:rPr>
          <w:rFonts w:ascii="Times New Roman" w:hAnsi="Times New Roman" w:cs="Times New Roman"/>
          <w:sz w:val="28"/>
          <w:szCs w:val="28"/>
        </w:rPr>
      </w:pPr>
      <w:r w:rsidRPr="006F65E5">
        <w:rPr>
          <w:rFonts w:ascii="Times New Roman" w:hAnsi="Times New Roman" w:cs="Times New Roman"/>
          <w:sz w:val="16"/>
          <w:szCs w:val="16"/>
        </w:rPr>
        <w:t>_________________</w:t>
      </w:r>
      <w:r>
        <w:rPr>
          <w:rFonts w:ascii="Times New Roman" w:hAnsi="Times New Roman" w:cs="Times New Roman"/>
          <w:sz w:val="16"/>
          <w:szCs w:val="16"/>
        </w:rPr>
        <w:t>__________________</w:t>
      </w:r>
      <w:r w:rsidRPr="006F65E5">
        <w:rPr>
          <w:rFonts w:ascii="Times New Roman" w:hAnsi="Times New Roman" w:cs="Times New Roman"/>
          <w:sz w:val="16"/>
          <w:szCs w:val="16"/>
        </w:rPr>
        <w:t>_______________________________________</w:t>
      </w:r>
      <w:r w:rsidRPr="006F65E5">
        <w:rPr>
          <w:rFonts w:ascii="Times New Roman" w:hAnsi="Times New Roman" w:cs="Times New Roman"/>
          <w:sz w:val="28"/>
          <w:szCs w:val="28"/>
        </w:rPr>
        <w:t xml:space="preserve"> </w:t>
      </w:r>
    </w:p>
    <w:p w14:paraId="5C876D2D" w14:textId="69559131" w:rsidR="006F65E5" w:rsidRDefault="006F65E5" w:rsidP="006F65E5">
      <w:pPr>
        <w:spacing w:after="0" w:line="240" w:lineRule="auto"/>
        <w:jc w:val="center"/>
        <w:rPr>
          <w:rFonts w:ascii="Times New Roman" w:hAnsi="Times New Roman" w:cs="Times New Roman"/>
          <w:sz w:val="24"/>
          <w:szCs w:val="24"/>
        </w:rPr>
      </w:pPr>
      <w:r w:rsidRPr="006F65E5">
        <w:rPr>
          <w:rFonts w:ascii="Times New Roman" w:hAnsi="Times New Roman" w:cs="Times New Roman"/>
          <w:sz w:val="24"/>
          <w:szCs w:val="24"/>
        </w:rPr>
        <w:t>(найменування суб’єкта надання адміністративної послуги</w:t>
      </w:r>
      <w:r>
        <w:rPr>
          <w:rFonts w:ascii="Times New Roman" w:hAnsi="Times New Roman" w:cs="Times New Roman"/>
          <w:sz w:val="24"/>
          <w:szCs w:val="24"/>
        </w:rPr>
        <w:t>)</w:t>
      </w:r>
    </w:p>
    <w:p w14:paraId="12AFE649" w14:textId="77777777" w:rsidR="00D25FEB" w:rsidRDefault="00D25FEB" w:rsidP="006F65E5">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706"/>
        <w:gridCol w:w="3826"/>
        <w:gridCol w:w="5097"/>
      </w:tblGrid>
      <w:tr w:rsidR="006F65E5" w14:paraId="39E9F9EA" w14:textId="77777777" w:rsidTr="00E95653">
        <w:tc>
          <w:tcPr>
            <w:tcW w:w="9629" w:type="dxa"/>
            <w:gridSpan w:val="3"/>
          </w:tcPr>
          <w:p w14:paraId="5A16DB5A" w14:textId="7791CDF6" w:rsidR="006F65E5" w:rsidRPr="006F65E5" w:rsidRDefault="006F65E5" w:rsidP="006F65E5">
            <w:pPr>
              <w:jc w:val="center"/>
              <w:rPr>
                <w:rFonts w:ascii="Times New Roman" w:hAnsi="Times New Roman" w:cs="Times New Roman"/>
                <w:b/>
                <w:bCs/>
                <w:sz w:val="24"/>
                <w:szCs w:val="24"/>
              </w:rPr>
            </w:pPr>
            <w:r w:rsidRPr="006F65E5">
              <w:rPr>
                <w:rFonts w:ascii="Times New Roman" w:hAnsi="Times New Roman" w:cs="Times New Roman"/>
                <w:b/>
                <w:bCs/>
                <w:sz w:val="28"/>
                <w:szCs w:val="28"/>
              </w:rPr>
              <w:t>Інформація про центр надання адміністративної послуги</w:t>
            </w:r>
          </w:p>
        </w:tc>
      </w:tr>
      <w:tr w:rsidR="006F65E5" w14:paraId="5C27A6E9" w14:textId="77777777" w:rsidTr="001226ED">
        <w:trPr>
          <w:trHeight w:val="1318"/>
        </w:trPr>
        <w:tc>
          <w:tcPr>
            <w:tcW w:w="4531" w:type="dxa"/>
            <w:gridSpan w:val="2"/>
          </w:tcPr>
          <w:p w14:paraId="15F76CB4" w14:textId="59DB4E66"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Найменування центру надання адміністративної послуги, в якому здійснюється обслуговування суб’єкта звернення</w:t>
            </w:r>
          </w:p>
        </w:tc>
        <w:tc>
          <w:tcPr>
            <w:tcW w:w="5098" w:type="dxa"/>
          </w:tcPr>
          <w:p w14:paraId="5011F66D" w14:textId="77777777" w:rsidR="006F65E5" w:rsidRDefault="006F65E5" w:rsidP="006F65E5">
            <w:pPr>
              <w:jc w:val="center"/>
              <w:rPr>
                <w:rFonts w:ascii="Times New Roman" w:hAnsi="Times New Roman" w:cs="Times New Roman"/>
                <w:sz w:val="24"/>
                <w:szCs w:val="24"/>
              </w:rPr>
            </w:pPr>
          </w:p>
        </w:tc>
      </w:tr>
      <w:tr w:rsidR="006F65E5" w14:paraId="7A27C076" w14:textId="77777777" w:rsidTr="001226ED">
        <w:tc>
          <w:tcPr>
            <w:tcW w:w="704" w:type="dxa"/>
          </w:tcPr>
          <w:p w14:paraId="783B2763" w14:textId="20312AB9" w:rsidR="006F65E5" w:rsidRPr="006F65E5" w:rsidRDefault="006F65E5" w:rsidP="001226ED">
            <w:pPr>
              <w:jc w:val="center"/>
              <w:rPr>
                <w:rFonts w:ascii="Times New Roman" w:hAnsi="Times New Roman" w:cs="Times New Roman"/>
                <w:sz w:val="28"/>
                <w:szCs w:val="28"/>
              </w:rPr>
            </w:pPr>
            <w:r w:rsidRPr="006F65E5">
              <w:rPr>
                <w:rFonts w:ascii="Times New Roman" w:hAnsi="Times New Roman" w:cs="Times New Roman"/>
                <w:sz w:val="28"/>
                <w:szCs w:val="28"/>
              </w:rPr>
              <w:t>1.</w:t>
            </w:r>
          </w:p>
        </w:tc>
        <w:tc>
          <w:tcPr>
            <w:tcW w:w="3827" w:type="dxa"/>
          </w:tcPr>
          <w:p w14:paraId="1062ECA4" w14:textId="1ACB0D45"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Місцезнаходження центру надання адміністративної послуги (далі – ЦНАП)</w:t>
            </w:r>
          </w:p>
        </w:tc>
        <w:tc>
          <w:tcPr>
            <w:tcW w:w="5098" w:type="dxa"/>
          </w:tcPr>
          <w:p w14:paraId="3E1D03CE" w14:textId="472F8E0B"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Найменування центру надання адміністративних послуг, адреса ЦНАП</w:t>
            </w:r>
          </w:p>
        </w:tc>
      </w:tr>
      <w:tr w:rsidR="006F65E5" w14:paraId="103F17ED" w14:textId="77777777" w:rsidTr="001226ED">
        <w:tc>
          <w:tcPr>
            <w:tcW w:w="704" w:type="dxa"/>
          </w:tcPr>
          <w:p w14:paraId="620F6BC5" w14:textId="5207A1BC" w:rsidR="006F65E5" w:rsidRPr="006F65E5" w:rsidRDefault="006F65E5" w:rsidP="001226ED">
            <w:pPr>
              <w:jc w:val="center"/>
              <w:rPr>
                <w:rFonts w:ascii="Times New Roman" w:hAnsi="Times New Roman" w:cs="Times New Roman"/>
                <w:sz w:val="28"/>
                <w:szCs w:val="28"/>
              </w:rPr>
            </w:pPr>
            <w:r w:rsidRPr="006F65E5">
              <w:rPr>
                <w:rFonts w:ascii="Times New Roman" w:hAnsi="Times New Roman" w:cs="Times New Roman"/>
                <w:sz w:val="28"/>
                <w:szCs w:val="28"/>
              </w:rPr>
              <w:t>2.</w:t>
            </w:r>
          </w:p>
        </w:tc>
        <w:tc>
          <w:tcPr>
            <w:tcW w:w="3827" w:type="dxa"/>
          </w:tcPr>
          <w:p w14:paraId="04A65CFB" w14:textId="122CADE2"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Інформація щодо режиму роботи центру надання адміністративної послуги</w:t>
            </w:r>
          </w:p>
        </w:tc>
        <w:tc>
          <w:tcPr>
            <w:tcW w:w="5098" w:type="dxa"/>
          </w:tcPr>
          <w:p w14:paraId="7D49B8AF" w14:textId="6E992544"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Відповідно до правил внутрішнього трудового порядку ЦНАП</w:t>
            </w:r>
          </w:p>
        </w:tc>
      </w:tr>
      <w:tr w:rsidR="006F65E5" w14:paraId="2B2A2FA0" w14:textId="77777777" w:rsidTr="001226ED">
        <w:tc>
          <w:tcPr>
            <w:tcW w:w="704" w:type="dxa"/>
          </w:tcPr>
          <w:p w14:paraId="5F85866F" w14:textId="09D48F47" w:rsidR="006F65E5" w:rsidRPr="006F65E5" w:rsidRDefault="006F65E5" w:rsidP="001226ED">
            <w:pPr>
              <w:jc w:val="center"/>
              <w:rPr>
                <w:rFonts w:ascii="Times New Roman" w:hAnsi="Times New Roman" w:cs="Times New Roman"/>
                <w:sz w:val="28"/>
                <w:szCs w:val="28"/>
              </w:rPr>
            </w:pPr>
            <w:r w:rsidRPr="006F65E5">
              <w:rPr>
                <w:rFonts w:ascii="Times New Roman" w:hAnsi="Times New Roman" w:cs="Times New Roman"/>
                <w:sz w:val="28"/>
                <w:szCs w:val="28"/>
              </w:rPr>
              <w:t>3.</w:t>
            </w:r>
          </w:p>
        </w:tc>
        <w:tc>
          <w:tcPr>
            <w:tcW w:w="3827" w:type="dxa"/>
          </w:tcPr>
          <w:p w14:paraId="20833807" w14:textId="0CEC0FF9"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Телефон/факс (довідки), адреса електронної пошти та веб-сайт центру надання адміністративної послуги</w:t>
            </w:r>
          </w:p>
        </w:tc>
        <w:tc>
          <w:tcPr>
            <w:tcW w:w="5098" w:type="dxa"/>
          </w:tcPr>
          <w:p w14:paraId="65092701" w14:textId="3648C6C2" w:rsidR="006F65E5" w:rsidRPr="006F65E5" w:rsidRDefault="006F65E5" w:rsidP="006F65E5">
            <w:pPr>
              <w:rPr>
                <w:rFonts w:ascii="Times New Roman" w:hAnsi="Times New Roman" w:cs="Times New Roman"/>
                <w:sz w:val="28"/>
                <w:szCs w:val="28"/>
              </w:rPr>
            </w:pPr>
            <w:r w:rsidRPr="006F65E5">
              <w:rPr>
                <w:rFonts w:ascii="Times New Roman" w:hAnsi="Times New Roman" w:cs="Times New Roman"/>
                <w:sz w:val="28"/>
                <w:szCs w:val="28"/>
              </w:rPr>
              <w:t>Реквізити державного адміністратора</w:t>
            </w:r>
          </w:p>
        </w:tc>
      </w:tr>
      <w:tr w:rsidR="006F65E5" w14:paraId="3CB522EC" w14:textId="77777777" w:rsidTr="00D178FE">
        <w:tc>
          <w:tcPr>
            <w:tcW w:w="9629" w:type="dxa"/>
            <w:gridSpan w:val="3"/>
          </w:tcPr>
          <w:p w14:paraId="30A2A97B" w14:textId="77777777" w:rsidR="006208AF" w:rsidRDefault="006F65E5" w:rsidP="006F65E5">
            <w:pPr>
              <w:tabs>
                <w:tab w:val="left" w:pos="3735"/>
              </w:tabs>
              <w:jc w:val="center"/>
              <w:rPr>
                <w:rFonts w:ascii="Times New Roman" w:hAnsi="Times New Roman" w:cs="Times New Roman"/>
                <w:b/>
                <w:bCs/>
                <w:sz w:val="28"/>
                <w:szCs w:val="28"/>
              </w:rPr>
            </w:pPr>
            <w:r w:rsidRPr="006F65E5">
              <w:rPr>
                <w:rFonts w:ascii="Times New Roman" w:hAnsi="Times New Roman" w:cs="Times New Roman"/>
                <w:b/>
                <w:bCs/>
                <w:sz w:val="28"/>
                <w:szCs w:val="28"/>
              </w:rPr>
              <w:t xml:space="preserve">Нормативні акти, якими регламентується надання </w:t>
            </w:r>
          </w:p>
          <w:p w14:paraId="6E332F94" w14:textId="01FBB6DB" w:rsidR="006F65E5" w:rsidRPr="006F65E5" w:rsidRDefault="006F65E5" w:rsidP="006F65E5">
            <w:pPr>
              <w:tabs>
                <w:tab w:val="left" w:pos="3735"/>
              </w:tabs>
              <w:jc w:val="center"/>
              <w:rPr>
                <w:rFonts w:ascii="Times New Roman" w:hAnsi="Times New Roman" w:cs="Times New Roman"/>
                <w:b/>
                <w:bCs/>
                <w:sz w:val="28"/>
                <w:szCs w:val="28"/>
              </w:rPr>
            </w:pPr>
            <w:r w:rsidRPr="006F65E5">
              <w:rPr>
                <w:rFonts w:ascii="Times New Roman" w:hAnsi="Times New Roman" w:cs="Times New Roman"/>
                <w:b/>
                <w:bCs/>
                <w:sz w:val="28"/>
                <w:szCs w:val="28"/>
              </w:rPr>
              <w:t>адміністративної послуги</w:t>
            </w:r>
          </w:p>
        </w:tc>
      </w:tr>
      <w:tr w:rsidR="006F65E5" w14:paraId="1D19669B" w14:textId="77777777" w:rsidTr="001226ED">
        <w:tc>
          <w:tcPr>
            <w:tcW w:w="704" w:type="dxa"/>
          </w:tcPr>
          <w:p w14:paraId="0C098FC7" w14:textId="39A6787B" w:rsidR="006F65E5" w:rsidRPr="00BA5557" w:rsidRDefault="006F65E5" w:rsidP="006F65E5">
            <w:pPr>
              <w:jc w:val="center"/>
              <w:rPr>
                <w:rFonts w:ascii="Times New Roman" w:hAnsi="Times New Roman" w:cs="Times New Roman"/>
                <w:sz w:val="28"/>
                <w:szCs w:val="28"/>
              </w:rPr>
            </w:pPr>
            <w:r w:rsidRPr="00BA5557">
              <w:rPr>
                <w:rFonts w:ascii="Times New Roman" w:hAnsi="Times New Roman" w:cs="Times New Roman"/>
                <w:sz w:val="28"/>
                <w:szCs w:val="28"/>
              </w:rPr>
              <w:t>4.</w:t>
            </w:r>
          </w:p>
        </w:tc>
        <w:tc>
          <w:tcPr>
            <w:tcW w:w="3827" w:type="dxa"/>
          </w:tcPr>
          <w:p w14:paraId="65DD892D" w14:textId="09F07B0C"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Закони України</w:t>
            </w:r>
          </w:p>
        </w:tc>
        <w:tc>
          <w:tcPr>
            <w:tcW w:w="5098" w:type="dxa"/>
          </w:tcPr>
          <w:p w14:paraId="7EE472EA" w14:textId="32446A5D"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Закон України «Про безпечність та гігієну кормів», ст. 14;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 Закон України «Про адміністративні послуги», ст. 8; Закон України «Про адміністративну процедуру», ст. 9</w:t>
            </w:r>
          </w:p>
        </w:tc>
      </w:tr>
      <w:tr w:rsidR="006F65E5" w14:paraId="15B3050E" w14:textId="77777777" w:rsidTr="001226ED">
        <w:tc>
          <w:tcPr>
            <w:tcW w:w="704" w:type="dxa"/>
          </w:tcPr>
          <w:p w14:paraId="72821BDA" w14:textId="28AC0595" w:rsidR="006F65E5" w:rsidRPr="00BA5557" w:rsidRDefault="001226ED" w:rsidP="006F65E5">
            <w:pPr>
              <w:jc w:val="center"/>
              <w:rPr>
                <w:rFonts w:ascii="Times New Roman" w:hAnsi="Times New Roman" w:cs="Times New Roman"/>
                <w:sz w:val="28"/>
                <w:szCs w:val="28"/>
              </w:rPr>
            </w:pPr>
            <w:r w:rsidRPr="00BA5557">
              <w:rPr>
                <w:rFonts w:ascii="Times New Roman" w:hAnsi="Times New Roman" w:cs="Times New Roman"/>
                <w:sz w:val="28"/>
                <w:szCs w:val="28"/>
              </w:rPr>
              <w:t>5</w:t>
            </w:r>
          </w:p>
        </w:tc>
        <w:tc>
          <w:tcPr>
            <w:tcW w:w="3827" w:type="dxa"/>
          </w:tcPr>
          <w:p w14:paraId="04736858" w14:textId="3358C880"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Акти Кабінету Міністрів України</w:t>
            </w:r>
          </w:p>
        </w:tc>
        <w:tc>
          <w:tcPr>
            <w:tcW w:w="5098" w:type="dxa"/>
          </w:tcPr>
          <w:p w14:paraId="16A912D5" w14:textId="77777777" w:rsidR="00B44C20"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 xml:space="preserve">Постанова Кабінету Міністрів України від 18 серпня 2021 року № 884 «Деякі питання реалізації Закону України «Про безпечність та гігієну кормів»; постанова Кабінету Міністрів України </w:t>
            </w:r>
            <w:r w:rsidRPr="001226ED">
              <w:rPr>
                <w:rFonts w:ascii="Times New Roman" w:hAnsi="Times New Roman" w:cs="Times New Roman"/>
                <w:sz w:val="28"/>
                <w:szCs w:val="28"/>
              </w:rPr>
              <w:lastRenderedPageBreak/>
              <w:t xml:space="preserve">від 20 лютого 2013 року № 118 </w:t>
            </w:r>
            <w:r w:rsidR="00B44C20">
              <w:rPr>
                <w:rFonts w:ascii="Times New Roman" w:hAnsi="Times New Roman" w:cs="Times New Roman"/>
                <w:sz w:val="28"/>
                <w:szCs w:val="28"/>
              </w:rPr>
              <w:t>«Про затвердження Примірного положення про центри</w:t>
            </w:r>
            <w:r w:rsidRPr="001226ED">
              <w:rPr>
                <w:rFonts w:ascii="Times New Roman" w:hAnsi="Times New Roman" w:cs="Times New Roman"/>
                <w:sz w:val="28"/>
                <w:szCs w:val="28"/>
              </w:rPr>
              <w:t xml:space="preserve"> надання адміністративних послуг»; </w:t>
            </w:r>
          </w:p>
          <w:p w14:paraId="5A76AC0B" w14:textId="00494A03"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6F65E5" w14:paraId="7FCE7CCB" w14:textId="77777777" w:rsidTr="001226ED">
        <w:tc>
          <w:tcPr>
            <w:tcW w:w="704" w:type="dxa"/>
          </w:tcPr>
          <w:p w14:paraId="0FD5A283" w14:textId="429309AC" w:rsidR="006F65E5" w:rsidRDefault="001226ED" w:rsidP="006F65E5">
            <w:pPr>
              <w:jc w:val="center"/>
              <w:rPr>
                <w:rFonts w:ascii="Times New Roman" w:hAnsi="Times New Roman" w:cs="Times New Roman"/>
                <w:sz w:val="24"/>
                <w:szCs w:val="24"/>
              </w:rPr>
            </w:pPr>
            <w:r w:rsidRPr="00BA5557">
              <w:rPr>
                <w:rFonts w:ascii="Times New Roman" w:hAnsi="Times New Roman" w:cs="Times New Roman"/>
                <w:sz w:val="28"/>
                <w:szCs w:val="28"/>
              </w:rPr>
              <w:lastRenderedPageBreak/>
              <w:t>6.</w:t>
            </w:r>
          </w:p>
        </w:tc>
        <w:tc>
          <w:tcPr>
            <w:tcW w:w="3827" w:type="dxa"/>
          </w:tcPr>
          <w:p w14:paraId="11C82674" w14:textId="3433C367"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Акти центральних органів виконавчої влади</w:t>
            </w:r>
          </w:p>
        </w:tc>
        <w:tc>
          <w:tcPr>
            <w:tcW w:w="5098" w:type="dxa"/>
          </w:tcPr>
          <w:p w14:paraId="4677DFB8" w14:textId="3129F140"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 xml:space="preserve">Порядок формування та ведення Державного реєстру </w:t>
            </w:r>
            <w:proofErr w:type="spellStart"/>
            <w:r w:rsidRPr="001226ED">
              <w:rPr>
                <w:rFonts w:ascii="Times New Roman" w:hAnsi="Times New Roman" w:cs="Times New Roman"/>
                <w:sz w:val="28"/>
                <w:szCs w:val="28"/>
              </w:rPr>
              <w:t>потужностей</w:t>
            </w:r>
            <w:proofErr w:type="spellEnd"/>
            <w:r w:rsidRPr="001226ED">
              <w:rPr>
                <w:rFonts w:ascii="Times New Roman" w:hAnsi="Times New Roman" w:cs="Times New Roman"/>
                <w:sz w:val="28"/>
                <w:szCs w:val="28"/>
              </w:rPr>
              <w:t xml:space="preserve"> з виробництва та обігу кормів, затверджений наказом Мінагрополітики від 06 травня 2019 року № 241 «Про затвердження деяких нормативно правових актів щодо безпечності та гігієни кормів», зареєстрований в Міністерстві юстиції України 19 липня 2019 року за № 807/33778</w:t>
            </w:r>
          </w:p>
        </w:tc>
      </w:tr>
      <w:tr w:rsidR="006F65E5" w14:paraId="32668909" w14:textId="77777777" w:rsidTr="001226ED">
        <w:tc>
          <w:tcPr>
            <w:tcW w:w="704" w:type="dxa"/>
          </w:tcPr>
          <w:p w14:paraId="2F96679E" w14:textId="0ABAE8BA" w:rsidR="006F65E5" w:rsidRDefault="001226ED" w:rsidP="006F65E5">
            <w:pPr>
              <w:jc w:val="center"/>
              <w:rPr>
                <w:rFonts w:ascii="Times New Roman" w:hAnsi="Times New Roman" w:cs="Times New Roman"/>
                <w:sz w:val="24"/>
                <w:szCs w:val="24"/>
              </w:rPr>
            </w:pPr>
            <w:r w:rsidRPr="00BA5557">
              <w:rPr>
                <w:rFonts w:ascii="Times New Roman" w:hAnsi="Times New Roman" w:cs="Times New Roman"/>
                <w:sz w:val="28"/>
                <w:szCs w:val="28"/>
              </w:rPr>
              <w:t>7.</w:t>
            </w:r>
          </w:p>
        </w:tc>
        <w:tc>
          <w:tcPr>
            <w:tcW w:w="3827" w:type="dxa"/>
          </w:tcPr>
          <w:p w14:paraId="3811D338" w14:textId="17744E11"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Акти місцевих органів виконавчої влади/ органів місцевого самоврядування</w:t>
            </w:r>
          </w:p>
        </w:tc>
        <w:tc>
          <w:tcPr>
            <w:tcW w:w="5098" w:type="dxa"/>
          </w:tcPr>
          <w:p w14:paraId="1EE0D560" w14:textId="63E3A768" w:rsidR="006F65E5" w:rsidRPr="001226ED" w:rsidRDefault="001226ED" w:rsidP="001226ED">
            <w:pPr>
              <w:rPr>
                <w:rFonts w:ascii="Times New Roman" w:hAnsi="Times New Roman" w:cs="Times New Roman"/>
                <w:sz w:val="28"/>
                <w:szCs w:val="28"/>
              </w:rPr>
            </w:pPr>
            <w:r w:rsidRPr="001226ED">
              <w:rPr>
                <w:rFonts w:ascii="Times New Roman" w:hAnsi="Times New Roman" w:cs="Times New Roman"/>
                <w:sz w:val="28"/>
                <w:szCs w:val="28"/>
              </w:rPr>
              <w:t>-</w:t>
            </w:r>
          </w:p>
        </w:tc>
      </w:tr>
      <w:tr w:rsidR="00BA5557" w14:paraId="24878042" w14:textId="77777777" w:rsidTr="00526D3E">
        <w:tc>
          <w:tcPr>
            <w:tcW w:w="9629" w:type="dxa"/>
            <w:gridSpan w:val="3"/>
          </w:tcPr>
          <w:p w14:paraId="00F3D037" w14:textId="4D1AEA89" w:rsidR="00BA5557" w:rsidRPr="00BA5557" w:rsidRDefault="00BA5557" w:rsidP="006F65E5">
            <w:pPr>
              <w:jc w:val="center"/>
              <w:rPr>
                <w:rFonts w:ascii="Times New Roman" w:hAnsi="Times New Roman" w:cs="Times New Roman"/>
                <w:b/>
                <w:bCs/>
                <w:sz w:val="28"/>
                <w:szCs w:val="28"/>
              </w:rPr>
            </w:pPr>
            <w:r w:rsidRPr="00BA5557">
              <w:rPr>
                <w:rFonts w:ascii="Times New Roman" w:hAnsi="Times New Roman" w:cs="Times New Roman"/>
                <w:b/>
                <w:bCs/>
                <w:sz w:val="28"/>
                <w:szCs w:val="28"/>
              </w:rPr>
              <w:t>Умови отримання адміністративної послуги</w:t>
            </w:r>
          </w:p>
        </w:tc>
      </w:tr>
      <w:tr w:rsidR="00BA5557" w14:paraId="0B525A23" w14:textId="77777777" w:rsidTr="001226ED">
        <w:tc>
          <w:tcPr>
            <w:tcW w:w="704" w:type="dxa"/>
          </w:tcPr>
          <w:p w14:paraId="0BEA1809" w14:textId="602FB4BE" w:rsidR="00BA5557" w:rsidRDefault="00BA5557" w:rsidP="006F65E5">
            <w:pPr>
              <w:jc w:val="center"/>
              <w:rPr>
                <w:rFonts w:ascii="Times New Roman" w:hAnsi="Times New Roman" w:cs="Times New Roman"/>
                <w:sz w:val="24"/>
                <w:szCs w:val="24"/>
              </w:rPr>
            </w:pPr>
            <w:r w:rsidRPr="00BA5557">
              <w:rPr>
                <w:rFonts w:ascii="Times New Roman" w:hAnsi="Times New Roman" w:cs="Times New Roman"/>
                <w:sz w:val="28"/>
                <w:szCs w:val="28"/>
              </w:rPr>
              <w:t>8.</w:t>
            </w:r>
          </w:p>
        </w:tc>
        <w:tc>
          <w:tcPr>
            <w:tcW w:w="3827" w:type="dxa"/>
          </w:tcPr>
          <w:p w14:paraId="2EA8C32C" w14:textId="3845990E" w:rsidR="00BA5557" w:rsidRPr="00BA5557"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Підстава для одержання адміністративної послуги</w:t>
            </w:r>
          </w:p>
        </w:tc>
        <w:tc>
          <w:tcPr>
            <w:tcW w:w="5098" w:type="dxa"/>
          </w:tcPr>
          <w:p w14:paraId="2A2CCF7D" w14:textId="77777777" w:rsidR="007B18CE"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Закон України «Про безпечність та гігієну кормів», ст. 14 а саме: експлуатаційний дозвіл на потужність, що призначена для:</w:t>
            </w:r>
          </w:p>
          <w:p w14:paraId="2EE77473" w14:textId="006B29BC" w:rsidR="007B18CE"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 xml:space="preserve"> 1) виробництва та/або обігу: поживних добавок; зоотехнічних добавок; технологічних добавок, таких як антиоксиданти (лише з максимальним встановленим вмістом); сенсорних добавок, таких як барвники (лише каротиноїди та </w:t>
            </w:r>
            <w:proofErr w:type="spellStart"/>
            <w:r w:rsidRPr="00BA5557">
              <w:rPr>
                <w:rFonts w:ascii="Times New Roman" w:hAnsi="Times New Roman" w:cs="Times New Roman"/>
                <w:sz w:val="28"/>
                <w:szCs w:val="28"/>
              </w:rPr>
              <w:t>ксантофіли</w:t>
            </w:r>
            <w:proofErr w:type="spellEnd"/>
            <w:r w:rsidRPr="00BA5557">
              <w:rPr>
                <w:rFonts w:ascii="Times New Roman" w:hAnsi="Times New Roman" w:cs="Times New Roman"/>
                <w:sz w:val="28"/>
                <w:szCs w:val="28"/>
              </w:rPr>
              <w:t xml:space="preserve">); протеїнів, отриманих з мікроорганізмів, що належать до бактерій, дріжджів, водоростей та нижчих грибів, крім дріжджів, вирощених на субстратах тваринного чи рослинного походження; побічних продуктів від виробництва амінокислот шляхом ферментації; </w:t>
            </w:r>
          </w:p>
          <w:p w14:paraId="28BD0D1D" w14:textId="77777777" w:rsidR="00B44C20"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 xml:space="preserve">2) виробництва та/або обігу </w:t>
            </w:r>
            <w:proofErr w:type="spellStart"/>
            <w:r w:rsidRPr="00BA5557">
              <w:rPr>
                <w:rFonts w:ascii="Times New Roman" w:hAnsi="Times New Roman" w:cs="Times New Roman"/>
                <w:sz w:val="28"/>
                <w:szCs w:val="28"/>
              </w:rPr>
              <w:t>преміксів</w:t>
            </w:r>
            <w:proofErr w:type="spellEnd"/>
            <w:r w:rsidRPr="00BA5557">
              <w:rPr>
                <w:rFonts w:ascii="Times New Roman" w:hAnsi="Times New Roman" w:cs="Times New Roman"/>
                <w:sz w:val="28"/>
                <w:szCs w:val="28"/>
              </w:rPr>
              <w:t xml:space="preserve">, виготовлених з використанням: зоотехнічних добавок, таких як підсилювачі росту та інші зоотехнічні добавки, крім підсилювачів </w:t>
            </w:r>
            <w:r w:rsidRPr="00BA5557">
              <w:rPr>
                <w:rFonts w:ascii="Times New Roman" w:hAnsi="Times New Roman" w:cs="Times New Roman"/>
                <w:sz w:val="28"/>
                <w:szCs w:val="28"/>
              </w:rPr>
              <w:lastRenderedPageBreak/>
              <w:t xml:space="preserve">засвоюваності, стабілізаторів кишкової флори, речовин, які сприятливо впливають на навколишнє природне середовище; </w:t>
            </w:r>
            <w:proofErr w:type="spellStart"/>
            <w:r w:rsidRPr="00BA5557">
              <w:rPr>
                <w:rFonts w:ascii="Times New Roman" w:hAnsi="Times New Roman" w:cs="Times New Roman"/>
                <w:sz w:val="28"/>
                <w:szCs w:val="28"/>
              </w:rPr>
              <w:t>кокцидіостатиків</w:t>
            </w:r>
            <w:proofErr w:type="spellEnd"/>
            <w:r w:rsidRPr="00BA5557">
              <w:rPr>
                <w:rFonts w:ascii="Times New Roman" w:hAnsi="Times New Roman" w:cs="Times New Roman"/>
                <w:sz w:val="28"/>
                <w:szCs w:val="28"/>
              </w:rPr>
              <w:t xml:space="preserve"> та </w:t>
            </w:r>
            <w:proofErr w:type="spellStart"/>
            <w:r w:rsidRPr="00BA5557">
              <w:rPr>
                <w:rFonts w:ascii="Times New Roman" w:hAnsi="Times New Roman" w:cs="Times New Roman"/>
                <w:sz w:val="28"/>
                <w:szCs w:val="28"/>
              </w:rPr>
              <w:t>гістомоностатиків</w:t>
            </w:r>
            <w:proofErr w:type="spellEnd"/>
            <w:r w:rsidRPr="00BA5557">
              <w:rPr>
                <w:rFonts w:ascii="Times New Roman" w:hAnsi="Times New Roman" w:cs="Times New Roman"/>
                <w:sz w:val="28"/>
                <w:szCs w:val="28"/>
              </w:rPr>
              <w:t xml:space="preserve">; поживних добавок, таких як вітаміни, провітаміни та речовини з встановленим хімічним складом із схожою дією (лише вітаміни А та Д), суміші мікроелементів (лише мідь та селен); </w:t>
            </w:r>
          </w:p>
          <w:p w14:paraId="1B5447C7" w14:textId="6F4442A1" w:rsidR="00BA5557" w:rsidRPr="00BA5557"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 xml:space="preserve">3) виробництва з метою введення в обіг або виробництва лише для власного господарства кормових сумішей з використанням кормових добавок або </w:t>
            </w:r>
            <w:proofErr w:type="spellStart"/>
            <w:r w:rsidRPr="00BA5557">
              <w:rPr>
                <w:rFonts w:ascii="Times New Roman" w:hAnsi="Times New Roman" w:cs="Times New Roman"/>
                <w:sz w:val="28"/>
                <w:szCs w:val="28"/>
              </w:rPr>
              <w:t>преміксів</w:t>
            </w:r>
            <w:proofErr w:type="spellEnd"/>
            <w:r w:rsidRPr="00BA5557">
              <w:rPr>
                <w:rFonts w:ascii="Times New Roman" w:hAnsi="Times New Roman" w:cs="Times New Roman"/>
                <w:sz w:val="28"/>
                <w:szCs w:val="28"/>
              </w:rPr>
              <w:t xml:space="preserve">, що містять: зоотехнічні добавки, такі як підсилювачі росту та інші зоотехнічні добавки, крім підсилювачів засвоюваності, стабілізаторів кишкової флори, речовин, які сприятливо впливають на навколишнє природне середовище; </w:t>
            </w:r>
            <w:proofErr w:type="spellStart"/>
            <w:r w:rsidRPr="00BA5557">
              <w:rPr>
                <w:rFonts w:ascii="Times New Roman" w:hAnsi="Times New Roman" w:cs="Times New Roman"/>
                <w:sz w:val="28"/>
                <w:szCs w:val="28"/>
              </w:rPr>
              <w:t>кокцидіостатики</w:t>
            </w:r>
            <w:proofErr w:type="spellEnd"/>
            <w:r w:rsidRPr="00BA5557">
              <w:rPr>
                <w:rFonts w:ascii="Times New Roman" w:hAnsi="Times New Roman" w:cs="Times New Roman"/>
                <w:sz w:val="28"/>
                <w:szCs w:val="28"/>
              </w:rPr>
              <w:t xml:space="preserve"> та </w:t>
            </w:r>
            <w:proofErr w:type="spellStart"/>
            <w:r w:rsidRPr="00BA5557">
              <w:rPr>
                <w:rFonts w:ascii="Times New Roman" w:hAnsi="Times New Roman" w:cs="Times New Roman"/>
                <w:sz w:val="28"/>
                <w:szCs w:val="28"/>
              </w:rPr>
              <w:t>гістомоностатики</w:t>
            </w:r>
            <w:proofErr w:type="spellEnd"/>
          </w:p>
        </w:tc>
      </w:tr>
      <w:tr w:rsidR="00BA5557" w14:paraId="2FB17E47" w14:textId="77777777" w:rsidTr="001226ED">
        <w:tc>
          <w:tcPr>
            <w:tcW w:w="704" w:type="dxa"/>
          </w:tcPr>
          <w:p w14:paraId="26B184F0" w14:textId="6250A920" w:rsidR="00BA5557" w:rsidRPr="00BA5557" w:rsidRDefault="00BA5557" w:rsidP="00BA5557">
            <w:pPr>
              <w:rPr>
                <w:rFonts w:ascii="Times New Roman" w:hAnsi="Times New Roman" w:cs="Times New Roman"/>
                <w:sz w:val="28"/>
                <w:szCs w:val="28"/>
              </w:rPr>
            </w:pPr>
            <w:r w:rsidRPr="00BA5557">
              <w:rPr>
                <w:rFonts w:ascii="Times New Roman" w:hAnsi="Times New Roman" w:cs="Times New Roman"/>
                <w:sz w:val="28"/>
                <w:szCs w:val="28"/>
              </w:rPr>
              <w:lastRenderedPageBreak/>
              <w:t>9.</w:t>
            </w:r>
          </w:p>
        </w:tc>
        <w:tc>
          <w:tcPr>
            <w:tcW w:w="3827" w:type="dxa"/>
          </w:tcPr>
          <w:p w14:paraId="0345A017" w14:textId="49FF7DF6" w:rsidR="00BA5557" w:rsidRPr="00BA5557"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 xml:space="preserve">Вичерпний перелік документів, необхідних для отримання адміністративної послуги, а </w:t>
            </w:r>
            <w:r w:rsidR="00B44C20" w:rsidRPr="00BA5557">
              <w:rPr>
                <w:rFonts w:ascii="Times New Roman" w:hAnsi="Times New Roman" w:cs="Times New Roman"/>
                <w:sz w:val="28"/>
                <w:szCs w:val="28"/>
              </w:rPr>
              <w:t xml:space="preserve">також </w:t>
            </w:r>
            <w:r w:rsidRPr="00BA5557">
              <w:rPr>
                <w:rFonts w:ascii="Times New Roman" w:hAnsi="Times New Roman" w:cs="Times New Roman"/>
                <w:sz w:val="28"/>
                <w:szCs w:val="28"/>
              </w:rPr>
              <w:t xml:space="preserve">вимоги до них </w:t>
            </w:r>
          </w:p>
        </w:tc>
        <w:tc>
          <w:tcPr>
            <w:tcW w:w="5098" w:type="dxa"/>
          </w:tcPr>
          <w:p w14:paraId="211B4EFA" w14:textId="0631E63F" w:rsidR="00BA5557" w:rsidRPr="00BA5557" w:rsidRDefault="00BA5557" w:rsidP="00BA5557">
            <w:pPr>
              <w:rPr>
                <w:rFonts w:ascii="Times New Roman" w:hAnsi="Times New Roman" w:cs="Times New Roman"/>
                <w:sz w:val="28"/>
                <w:szCs w:val="28"/>
              </w:rPr>
            </w:pPr>
            <w:r w:rsidRPr="00BA5557">
              <w:rPr>
                <w:rFonts w:ascii="Times New Roman" w:hAnsi="Times New Roman" w:cs="Times New Roman"/>
                <w:sz w:val="28"/>
                <w:szCs w:val="28"/>
              </w:rPr>
              <w:t>Для отримання адміністративної послуги необхідно подати до територіального органу Держпродспоживслужби заяву про видачу експлуатаційного дозволу</w:t>
            </w:r>
          </w:p>
        </w:tc>
      </w:tr>
      <w:tr w:rsidR="00BA5557" w14:paraId="0B1BAFD6" w14:textId="77777777" w:rsidTr="001226ED">
        <w:tc>
          <w:tcPr>
            <w:tcW w:w="704" w:type="dxa"/>
          </w:tcPr>
          <w:p w14:paraId="5CB1D21F" w14:textId="3922A001" w:rsidR="00BA5557" w:rsidRPr="00BA5557" w:rsidRDefault="00BA5557" w:rsidP="006F65E5">
            <w:pPr>
              <w:jc w:val="center"/>
              <w:rPr>
                <w:rFonts w:ascii="Times New Roman" w:hAnsi="Times New Roman" w:cs="Times New Roman"/>
                <w:sz w:val="28"/>
                <w:szCs w:val="28"/>
              </w:rPr>
            </w:pPr>
            <w:r w:rsidRPr="00BA5557">
              <w:rPr>
                <w:rFonts w:ascii="Times New Roman" w:hAnsi="Times New Roman" w:cs="Times New Roman"/>
                <w:sz w:val="28"/>
                <w:szCs w:val="28"/>
              </w:rPr>
              <w:t>10.</w:t>
            </w:r>
          </w:p>
        </w:tc>
        <w:tc>
          <w:tcPr>
            <w:tcW w:w="3827" w:type="dxa"/>
          </w:tcPr>
          <w:p w14:paraId="2CD6E4D3" w14:textId="60D26BF5" w:rsidR="00BA5557"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Порядок та спосіб подання документів, необхідних для отримання адміністративної послуги</w:t>
            </w:r>
          </w:p>
        </w:tc>
        <w:tc>
          <w:tcPr>
            <w:tcW w:w="5098" w:type="dxa"/>
          </w:tcPr>
          <w:p w14:paraId="4B154C44" w14:textId="027DA34C" w:rsidR="00BA5557"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Заява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w:t>
            </w:r>
          </w:p>
        </w:tc>
      </w:tr>
      <w:tr w:rsidR="00BA5557" w14:paraId="4CFE8FE8" w14:textId="77777777" w:rsidTr="001226ED">
        <w:tc>
          <w:tcPr>
            <w:tcW w:w="704" w:type="dxa"/>
          </w:tcPr>
          <w:p w14:paraId="7CFB6A6C" w14:textId="657C18AC" w:rsidR="00BA5557" w:rsidRDefault="00AA2388" w:rsidP="006F65E5">
            <w:pPr>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tcPr>
          <w:p w14:paraId="542EA8F8" w14:textId="2A2FE128" w:rsidR="00BA5557"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Платність (безоплатність) надання адміністративної послуги</w:t>
            </w:r>
          </w:p>
        </w:tc>
        <w:tc>
          <w:tcPr>
            <w:tcW w:w="5098" w:type="dxa"/>
          </w:tcPr>
          <w:p w14:paraId="5795556B" w14:textId="77777777" w:rsidR="00B44C20"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 xml:space="preserve">Платно: </w:t>
            </w:r>
          </w:p>
          <w:p w14:paraId="1D151620" w14:textId="6990157D" w:rsidR="00BA5557"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за видачу експлуатаційного дозволу</w:t>
            </w:r>
          </w:p>
        </w:tc>
      </w:tr>
      <w:tr w:rsidR="00AA2388" w14:paraId="2D14A005" w14:textId="77777777" w:rsidTr="00853DD4">
        <w:tc>
          <w:tcPr>
            <w:tcW w:w="9629" w:type="dxa"/>
            <w:gridSpan w:val="3"/>
          </w:tcPr>
          <w:p w14:paraId="5EC7ABBF" w14:textId="1BDD4E93" w:rsidR="00AA2388" w:rsidRPr="00AA2388" w:rsidRDefault="00B44C20" w:rsidP="00AA2388">
            <w:pPr>
              <w:rPr>
                <w:rFonts w:ascii="Times New Roman" w:hAnsi="Times New Roman" w:cs="Times New Roman"/>
                <w:i/>
                <w:iCs/>
                <w:sz w:val="28"/>
                <w:szCs w:val="28"/>
              </w:rPr>
            </w:pPr>
            <w:r>
              <w:rPr>
                <w:rFonts w:ascii="Times New Roman" w:hAnsi="Times New Roman" w:cs="Times New Roman"/>
                <w:i/>
                <w:iCs/>
                <w:sz w:val="28"/>
                <w:szCs w:val="28"/>
              </w:rPr>
              <w:t xml:space="preserve">        </w:t>
            </w:r>
            <w:r w:rsidR="00AA2388" w:rsidRPr="00AA2388">
              <w:rPr>
                <w:rFonts w:ascii="Times New Roman" w:hAnsi="Times New Roman" w:cs="Times New Roman"/>
                <w:i/>
                <w:iCs/>
                <w:sz w:val="28"/>
                <w:szCs w:val="28"/>
              </w:rPr>
              <w:t>У разі платності:</w:t>
            </w:r>
          </w:p>
        </w:tc>
      </w:tr>
      <w:tr w:rsidR="00AA2388" w14:paraId="18D32D3B" w14:textId="77777777" w:rsidTr="001226ED">
        <w:tc>
          <w:tcPr>
            <w:tcW w:w="704" w:type="dxa"/>
          </w:tcPr>
          <w:p w14:paraId="56D1B07D" w14:textId="5DB43A04" w:rsidR="00AA2388" w:rsidRDefault="00AA2388" w:rsidP="006F65E5">
            <w:pPr>
              <w:jc w:val="center"/>
              <w:rPr>
                <w:rFonts w:ascii="Times New Roman" w:hAnsi="Times New Roman" w:cs="Times New Roman"/>
                <w:sz w:val="24"/>
                <w:szCs w:val="24"/>
              </w:rPr>
            </w:pPr>
            <w:r>
              <w:rPr>
                <w:rFonts w:ascii="Times New Roman" w:hAnsi="Times New Roman" w:cs="Times New Roman"/>
                <w:sz w:val="24"/>
                <w:szCs w:val="24"/>
              </w:rPr>
              <w:t>11.1</w:t>
            </w:r>
          </w:p>
        </w:tc>
        <w:tc>
          <w:tcPr>
            <w:tcW w:w="3827" w:type="dxa"/>
          </w:tcPr>
          <w:p w14:paraId="456C97AE" w14:textId="53BCF7A0" w:rsidR="00AA2388"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Нормативно-правові акти, на підставі яких стягується плата</w:t>
            </w:r>
          </w:p>
        </w:tc>
        <w:tc>
          <w:tcPr>
            <w:tcW w:w="5098" w:type="dxa"/>
          </w:tcPr>
          <w:p w14:paraId="7203DA1B" w14:textId="28DA9369" w:rsidR="00AA2388"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Стаття 14 Закону України «Про безпечність та гігієну кормів»</w:t>
            </w:r>
          </w:p>
        </w:tc>
      </w:tr>
      <w:tr w:rsidR="00AA2388" w14:paraId="35A8EC83" w14:textId="77777777" w:rsidTr="001226ED">
        <w:tc>
          <w:tcPr>
            <w:tcW w:w="704" w:type="dxa"/>
          </w:tcPr>
          <w:p w14:paraId="71D1C07E" w14:textId="33BB5EF5" w:rsidR="00AA2388" w:rsidRDefault="00AA2388" w:rsidP="006F65E5">
            <w:pPr>
              <w:jc w:val="center"/>
              <w:rPr>
                <w:rFonts w:ascii="Times New Roman" w:hAnsi="Times New Roman" w:cs="Times New Roman"/>
                <w:sz w:val="24"/>
                <w:szCs w:val="24"/>
              </w:rPr>
            </w:pPr>
            <w:r>
              <w:rPr>
                <w:rFonts w:ascii="Times New Roman" w:hAnsi="Times New Roman" w:cs="Times New Roman"/>
                <w:sz w:val="24"/>
                <w:szCs w:val="24"/>
              </w:rPr>
              <w:t>11.2</w:t>
            </w:r>
          </w:p>
        </w:tc>
        <w:tc>
          <w:tcPr>
            <w:tcW w:w="3827" w:type="dxa"/>
          </w:tcPr>
          <w:p w14:paraId="16D29AB6" w14:textId="7BFDB99C" w:rsidR="00AA2388"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Розмір та порядок внесення плати (адміністративного збору) за платну адміністративну послугу</w:t>
            </w:r>
          </w:p>
        </w:tc>
        <w:tc>
          <w:tcPr>
            <w:tcW w:w="5098" w:type="dxa"/>
          </w:tcPr>
          <w:p w14:paraId="2885F230" w14:textId="161758D9" w:rsidR="00AA2388"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 xml:space="preserve">За видачу експлуатаційного дозволу справляється плата (адміністративний збір), що зараховується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w:t>
            </w:r>
            <w:r w:rsidRPr="00AA2388">
              <w:rPr>
                <w:rFonts w:ascii="Times New Roman" w:hAnsi="Times New Roman" w:cs="Times New Roman"/>
                <w:sz w:val="28"/>
                <w:szCs w:val="28"/>
              </w:rPr>
              <w:lastRenderedPageBreak/>
              <w:t>заяву про видачу або поновлення дії експлуатаційного дозволу</w:t>
            </w:r>
          </w:p>
        </w:tc>
      </w:tr>
      <w:tr w:rsidR="006F65E5" w14:paraId="0E5A6A57" w14:textId="77777777" w:rsidTr="001226ED">
        <w:tc>
          <w:tcPr>
            <w:tcW w:w="704" w:type="dxa"/>
          </w:tcPr>
          <w:p w14:paraId="7D50393E" w14:textId="014D90CC" w:rsidR="006F65E5" w:rsidRPr="00546929" w:rsidRDefault="00AA2388" w:rsidP="006F65E5">
            <w:pPr>
              <w:jc w:val="center"/>
              <w:rPr>
                <w:rFonts w:ascii="Times New Roman" w:hAnsi="Times New Roman" w:cs="Times New Roman"/>
                <w:sz w:val="28"/>
                <w:szCs w:val="28"/>
              </w:rPr>
            </w:pPr>
            <w:r w:rsidRPr="00546929">
              <w:rPr>
                <w:rFonts w:ascii="Times New Roman" w:hAnsi="Times New Roman" w:cs="Times New Roman"/>
                <w:sz w:val="28"/>
                <w:szCs w:val="28"/>
              </w:rPr>
              <w:lastRenderedPageBreak/>
              <w:t>11.3</w:t>
            </w:r>
          </w:p>
        </w:tc>
        <w:tc>
          <w:tcPr>
            <w:tcW w:w="3827" w:type="dxa"/>
          </w:tcPr>
          <w:p w14:paraId="09B0FFFE" w14:textId="0BAD6017" w:rsidR="006F65E5"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Розрахунковий рахунок для внесення плати</w:t>
            </w:r>
          </w:p>
        </w:tc>
        <w:tc>
          <w:tcPr>
            <w:tcW w:w="5098" w:type="dxa"/>
          </w:tcPr>
          <w:p w14:paraId="665963E6" w14:textId="2FC09E83" w:rsidR="006F65E5" w:rsidRPr="00AA2388" w:rsidRDefault="00AA2388" w:rsidP="00AA2388">
            <w:pPr>
              <w:rPr>
                <w:rFonts w:ascii="Times New Roman" w:hAnsi="Times New Roman" w:cs="Times New Roman"/>
                <w:sz w:val="28"/>
                <w:szCs w:val="28"/>
              </w:rPr>
            </w:pPr>
            <w:r w:rsidRPr="00AA2388">
              <w:rPr>
                <w:rFonts w:ascii="Times New Roman" w:hAnsi="Times New Roman" w:cs="Times New Roman"/>
                <w:sz w:val="28"/>
                <w:szCs w:val="28"/>
              </w:rPr>
              <w:t>Плата зараховується до відповідного бюджету на рахунки, відкриті в органах Казначейства</w:t>
            </w:r>
          </w:p>
        </w:tc>
      </w:tr>
      <w:tr w:rsidR="00AA2388" w14:paraId="0DF97A4E" w14:textId="77777777" w:rsidTr="001226ED">
        <w:tc>
          <w:tcPr>
            <w:tcW w:w="704" w:type="dxa"/>
          </w:tcPr>
          <w:p w14:paraId="5293B0D8" w14:textId="2270326F" w:rsidR="00AA2388" w:rsidRPr="00546929" w:rsidRDefault="00AA2388" w:rsidP="006F65E5">
            <w:pPr>
              <w:jc w:val="center"/>
              <w:rPr>
                <w:rFonts w:ascii="Times New Roman" w:hAnsi="Times New Roman" w:cs="Times New Roman"/>
                <w:sz w:val="28"/>
                <w:szCs w:val="28"/>
              </w:rPr>
            </w:pPr>
            <w:r w:rsidRPr="00546929">
              <w:rPr>
                <w:rFonts w:ascii="Times New Roman" w:hAnsi="Times New Roman" w:cs="Times New Roman"/>
                <w:sz w:val="28"/>
                <w:szCs w:val="28"/>
              </w:rPr>
              <w:t>12</w:t>
            </w:r>
            <w:r w:rsidR="00546929" w:rsidRPr="00546929">
              <w:rPr>
                <w:rFonts w:ascii="Times New Roman" w:hAnsi="Times New Roman" w:cs="Times New Roman"/>
                <w:sz w:val="28"/>
                <w:szCs w:val="28"/>
              </w:rPr>
              <w:t>.</w:t>
            </w:r>
          </w:p>
        </w:tc>
        <w:tc>
          <w:tcPr>
            <w:tcW w:w="3827" w:type="dxa"/>
          </w:tcPr>
          <w:p w14:paraId="06F41D13" w14:textId="1308EC17" w:rsidR="00AA2388" w:rsidRPr="004D6F9F" w:rsidRDefault="00AA2388" w:rsidP="004D6F9F">
            <w:pPr>
              <w:rPr>
                <w:rFonts w:ascii="Times New Roman" w:hAnsi="Times New Roman" w:cs="Times New Roman"/>
                <w:sz w:val="28"/>
                <w:szCs w:val="28"/>
              </w:rPr>
            </w:pPr>
            <w:r w:rsidRPr="004D6F9F">
              <w:rPr>
                <w:rFonts w:ascii="Times New Roman" w:hAnsi="Times New Roman" w:cs="Times New Roman"/>
                <w:sz w:val="28"/>
                <w:szCs w:val="28"/>
              </w:rPr>
              <w:t>Строк надання адміністративної послуги</w:t>
            </w:r>
          </w:p>
        </w:tc>
        <w:tc>
          <w:tcPr>
            <w:tcW w:w="5098" w:type="dxa"/>
          </w:tcPr>
          <w:p w14:paraId="3337C6B0" w14:textId="77777777" w:rsidR="00B44C20" w:rsidRDefault="00AA2388" w:rsidP="004D6F9F">
            <w:pPr>
              <w:rPr>
                <w:rFonts w:ascii="Times New Roman" w:hAnsi="Times New Roman" w:cs="Times New Roman"/>
                <w:sz w:val="28"/>
                <w:szCs w:val="28"/>
              </w:rPr>
            </w:pPr>
            <w:r w:rsidRPr="004D6F9F">
              <w:rPr>
                <w:rFonts w:ascii="Times New Roman" w:hAnsi="Times New Roman" w:cs="Times New Roman"/>
                <w:sz w:val="28"/>
                <w:szCs w:val="28"/>
              </w:rPr>
              <w:t xml:space="preserve">Видача експлуатаційного дозволу або прийняття рішення про відмову у видачі експлуатаційного дозволу здійснюється територіальним органом компетентного органу протягом 30 календарних днів з дня реєстрації ним заяви про видачу експлуатаційного дозволу. Не пізніше 15 календарних днів з дня реєстрації територіальним органом компетентного органу заяви про видачу експлуатаційного дозволу державний ветеринарний інспектор проводить інспектування потужності, зазначеної в заяві, за результатами якого визначається відповідність потужності вимогам законодавства про корми. Якщо за результатами інспектування встановлено, що потужність відповідає вимогам законодавства про корми лише щодо інфраструктури та обладнання, на таку потужність компетентний орган видає тимчасовий експлуатаційний </w:t>
            </w:r>
            <w:r w:rsidR="00B44C20">
              <w:rPr>
                <w:rFonts w:ascii="Times New Roman" w:hAnsi="Times New Roman" w:cs="Times New Roman"/>
                <w:sz w:val="28"/>
                <w:szCs w:val="28"/>
              </w:rPr>
              <w:t xml:space="preserve">дозвіл </w:t>
            </w:r>
            <w:r w:rsidRPr="004D6F9F">
              <w:rPr>
                <w:rFonts w:ascii="Times New Roman" w:hAnsi="Times New Roman" w:cs="Times New Roman"/>
                <w:sz w:val="28"/>
                <w:szCs w:val="28"/>
              </w:rPr>
              <w:t>строком на три місяці.</w:t>
            </w:r>
          </w:p>
          <w:p w14:paraId="5E0C03C5" w14:textId="38639A70" w:rsidR="00AA2388" w:rsidRPr="004D6F9F" w:rsidRDefault="00AA2388" w:rsidP="004D6F9F">
            <w:pPr>
              <w:rPr>
                <w:rFonts w:ascii="Times New Roman" w:hAnsi="Times New Roman" w:cs="Times New Roman"/>
                <w:sz w:val="28"/>
                <w:szCs w:val="28"/>
              </w:rPr>
            </w:pPr>
            <w:r w:rsidRPr="004D6F9F">
              <w:rPr>
                <w:rFonts w:ascii="Times New Roman" w:hAnsi="Times New Roman" w:cs="Times New Roman"/>
                <w:sz w:val="28"/>
                <w:szCs w:val="28"/>
              </w:rPr>
              <w:t xml:space="preserve"> Якщо результати повторного інспектування потужності, проведеного протягом трьох місяців з дня видачі тимчасового дозволу, підтвердять відповідність потужності всім вимогам законодавства про корми, компетентний орган повинен видати на таку потужність експлуатаційний дозвіл на необмежений строк. Якщо результати такого інспектування свідчать про те, що оператор ринку усунув окремі невідповідності вимогам законодавства про корми, але потужність все ще не відповідає усім вимогам зазначеного законодавства, компетентний орган може продовжити строк дії тимчасового експлуатаційного дозволу до шести місяців</w:t>
            </w:r>
          </w:p>
        </w:tc>
      </w:tr>
      <w:tr w:rsidR="00AA2388" w14:paraId="48882C8D" w14:textId="77777777" w:rsidTr="001226ED">
        <w:tc>
          <w:tcPr>
            <w:tcW w:w="704" w:type="dxa"/>
          </w:tcPr>
          <w:p w14:paraId="5DBD5A90" w14:textId="2B7FF32E" w:rsidR="00AA2388" w:rsidRDefault="00546929" w:rsidP="00AA2388">
            <w:pPr>
              <w:rPr>
                <w:rFonts w:ascii="Times New Roman" w:hAnsi="Times New Roman" w:cs="Times New Roman"/>
                <w:sz w:val="24"/>
                <w:szCs w:val="24"/>
              </w:rPr>
            </w:pPr>
            <w:r w:rsidRPr="00546929">
              <w:rPr>
                <w:rFonts w:ascii="Times New Roman" w:hAnsi="Times New Roman" w:cs="Times New Roman"/>
                <w:sz w:val="28"/>
                <w:szCs w:val="28"/>
              </w:rPr>
              <w:lastRenderedPageBreak/>
              <w:t>13.</w:t>
            </w:r>
          </w:p>
        </w:tc>
        <w:tc>
          <w:tcPr>
            <w:tcW w:w="3827" w:type="dxa"/>
          </w:tcPr>
          <w:p w14:paraId="44483090" w14:textId="6AF51D95" w:rsidR="00AA2388"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Перелік </w:t>
            </w:r>
            <w:r w:rsidR="00B52A71" w:rsidRPr="00546929">
              <w:rPr>
                <w:rFonts w:ascii="Times New Roman" w:hAnsi="Times New Roman" w:cs="Times New Roman"/>
                <w:sz w:val="28"/>
                <w:szCs w:val="28"/>
              </w:rPr>
              <w:t xml:space="preserve">підстав для </w:t>
            </w:r>
            <w:r w:rsidRPr="00546929">
              <w:rPr>
                <w:rFonts w:ascii="Times New Roman" w:hAnsi="Times New Roman" w:cs="Times New Roman"/>
                <w:sz w:val="28"/>
                <w:szCs w:val="28"/>
              </w:rPr>
              <w:t>відмови у наданні адміністративної послуги</w:t>
            </w:r>
          </w:p>
        </w:tc>
        <w:tc>
          <w:tcPr>
            <w:tcW w:w="5098" w:type="dxa"/>
          </w:tcPr>
          <w:p w14:paraId="44B406D8"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Підставою для відмови у видачі експлуатаційного дозволу є:</w:t>
            </w:r>
            <w:r>
              <w:rPr>
                <w:rFonts w:ascii="Times New Roman" w:hAnsi="Times New Roman" w:cs="Times New Roman"/>
                <w:sz w:val="28"/>
                <w:szCs w:val="28"/>
              </w:rPr>
              <w:t xml:space="preserve">   </w:t>
            </w:r>
          </w:p>
          <w:p w14:paraId="4DE92BA3"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1) відсутність у заяві про видачу експлуатаційного дозволу інформації, що вимагається відповідно до частини третьої статті 14 Закону України «Про безпечність та гігієну кормів»;</w:t>
            </w:r>
            <w:r>
              <w:rPr>
                <w:rFonts w:ascii="Times New Roman" w:hAnsi="Times New Roman" w:cs="Times New Roman"/>
                <w:sz w:val="28"/>
                <w:szCs w:val="28"/>
              </w:rPr>
              <w:t xml:space="preserve"> </w:t>
            </w:r>
          </w:p>
          <w:p w14:paraId="207BCD85" w14:textId="4DBA5E87" w:rsidR="00AA2388"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2) виявлення у заяві про видачу експлуатаційного дозволу недостовірних відомостей; </w:t>
            </w:r>
            <w:r>
              <w:rPr>
                <w:rFonts w:ascii="Times New Roman" w:hAnsi="Times New Roman" w:cs="Times New Roman"/>
                <w:sz w:val="28"/>
                <w:szCs w:val="28"/>
              </w:rPr>
              <w:t xml:space="preserve">                             </w:t>
            </w:r>
            <w:r w:rsidRPr="00546929">
              <w:rPr>
                <w:rFonts w:ascii="Times New Roman" w:hAnsi="Times New Roman" w:cs="Times New Roman"/>
                <w:sz w:val="28"/>
                <w:szCs w:val="28"/>
              </w:rPr>
              <w:t xml:space="preserve">3) невідповідність потужності вимогам законодавства про корми, крім випадку, передбаченому частиною сьомою статті </w:t>
            </w:r>
            <w:proofErr w:type="spellStart"/>
            <w:r w:rsidRPr="00546929">
              <w:rPr>
                <w:rFonts w:ascii="Times New Roman" w:hAnsi="Times New Roman" w:cs="Times New Roman"/>
                <w:sz w:val="28"/>
                <w:szCs w:val="28"/>
              </w:rPr>
              <w:t>статті</w:t>
            </w:r>
            <w:proofErr w:type="spellEnd"/>
            <w:r w:rsidRPr="00546929">
              <w:rPr>
                <w:rFonts w:ascii="Times New Roman" w:hAnsi="Times New Roman" w:cs="Times New Roman"/>
                <w:sz w:val="28"/>
                <w:szCs w:val="28"/>
              </w:rPr>
              <w:t xml:space="preserve"> 14 Закону України «Про безпечність та гігієну кормів»</w:t>
            </w:r>
          </w:p>
        </w:tc>
      </w:tr>
      <w:tr w:rsidR="004D6F9F" w14:paraId="29B19B86" w14:textId="77777777" w:rsidTr="001226ED">
        <w:tc>
          <w:tcPr>
            <w:tcW w:w="704" w:type="dxa"/>
          </w:tcPr>
          <w:p w14:paraId="584F699B" w14:textId="5F2A254C" w:rsidR="004D6F9F" w:rsidRPr="00546929" w:rsidRDefault="00546929" w:rsidP="00AA2388">
            <w:pPr>
              <w:rPr>
                <w:rFonts w:ascii="Times New Roman" w:hAnsi="Times New Roman" w:cs="Times New Roman"/>
                <w:sz w:val="28"/>
                <w:szCs w:val="28"/>
              </w:rPr>
            </w:pPr>
            <w:r w:rsidRPr="00546929">
              <w:rPr>
                <w:rFonts w:ascii="Times New Roman" w:hAnsi="Times New Roman" w:cs="Times New Roman"/>
                <w:sz w:val="28"/>
                <w:szCs w:val="28"/>
              </w:rPr>
              <w:t>14</w:t>
            </w:r>
            <w:r>
              <w:rPr>
                <w:rFonts w:ascii="Times New Roman" w:hAnsi="Times New Roman" w:cs="Times New Roman"/>
                <w:sz w:val="28"/>
                <w:szCs w:val="28"/>
              </w:rPr>
              <w:t>.</w:t>
            </w:r>
          </w:p>
        </w:tc>
        <w:tc>
          <w:tcPr>
            <w:tcW w:w="3827" w:type="dxa"/>
          </w:tcPr>
          <w:p w14:paraId="79933C11" w14:textId="02DF6951" w:rsidR="004D6F9F"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Результат надання адміністративної послуги</w:t>
            </w:r>
          </w:p>
        </w:tc>
        <w:tc>
          <w:tcPr>
            <w:tcW w:w="5098" w:type="dxa"/>
          </w:tcPr>
          <w:p w14:paraId="5507DC19"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Виконання статті 14 Закону України «Про безпечність та гігієну кормів» та залежно від поданої заяви: </w:t>
            </w:r>
          </w:p>
          <w:p w14:paraId="1BA1406F"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1. Видача експлуатаційного дозволу </w:t>
            </w:r>
          </w:p>
          <w:p w14:paraId="504668DF"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2. Видача тимчасового експлуатаційного дозволу </w:t>
            </w:r>
          </w:p>
          <w:p w14:paraId="2074536F" w14:textId="1431A9A9" w:rsidR="004D6F9F"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3. Відмова у видачі експлуатаційного дозволу</w:t>
            </w:r>
          </w:p>
        </w:tc>
      </w:tr>
      <w:tr w:rsidR="004D6F9F" w14:paraId="57E0C028" w14:textId="77777777" w:rsidTr="001226ED">
        <w:tc>
          <w:tcPr>
            <w:tcW w:w="704" w:type="dxa"/>
          </w:tcPr>
          <w:p w14:paraId="3805E3E2" w14:textId="6EE5CEBD" w:rsidR="004D6F9F" w:rsidRPr="00546929" w:rsidRDefault="00546929" w:rsidP="00AA2388">
            <w:pPr>
              <w:rPr>
                <w:rFonts w:ascii="Times New Roman" w:hAnsi="Times New Roman" w:cs="Times New Roman"/>
                <w:sz w:val="28"/>
                <w:szCs w:val="28"/>
              </w:rPr>
            </w:pPr>
            <w:r w:rsidRPr="00546929">
              <w:rPr>
                <w:rFonts w:ascii="Times New Roman" w:hAnsi="Times New Roman" w:cs="Times New Roman"/>
                <w:sz w:val="28"/>
                <w:szCs w:val="28"/>
              </w:rPr>
              <w:t>15</w:t>
            </w:r>
            <w:r>
              <w:rPr>
                <w:rFonts w:ascii="Times New Roman" w:hAnsi="Times New Roman" w:cs="Times New Roman"/>
                <w:sz w:val="28"/>
                <w:szCs w:val="28"/>
              </w:rPr>
              <w:t>.</w:t>
            </w:r>
          </w:p>
        </w:tc>
        <w:tc>
          <w:tcPr>
            <w:tcW w:w="3827" w:type="dxa"/>
          </w:tcPr>
          <w:p w14:paraId="55042CD7" w14:textId="3F2A5708" w:rsidR="004D6F9F"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Способи отримання відповіді (результату)</w:t>
            </w:r>
          </w:p>
        </w:tc>
        <w:tc>
          <w:tcPr>
            <w:tcW w:w="5098" w:type="dxa"/>
          </w:tcPr>
          <w:p w14:paraId="20B15F22" w14:textId="77777777" w:rsidR="00B52A71"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Видача експлуатаційного  дозволу здійснюються протягом п’яти робочих днів після отримання територіальним органом компетентного органу підтвердження внесення відповідної </w:t>
            </w:r>
            <w:r w:rsidR="00B52A71" w:rsidRPr="00546929">
              <w:rPr>
                <w:rFonts w:ascii="Times New Roman" w:hAnsi="Times New Roman" w:cs="Times New Roman"/>
                <w:sz w:val="28"/>
                <w:szCs w:val="28"/>
              </w:rPr>
              <w:t xml:space="preserve">плати </w:t>
            </w:r>
            <w:r w:rsidRPr="00546929">
              <w:rPr>
                <w:rFonts w:ascii="Times New Roman" w:hAnsi="Times New Roman" w:cs="Times New Roman"/>
                <w:sz w:val="28"/>
                <w:szCs w:val="28"/>
              </w:rPr>
              <w:t xml:space="preserve">(адміністративного збору). Експлуатаційний дозвіл </w:t>
            </w:r>
            <w:r w:rsidR="00B52A71">
              <w:rPr>
                <w:rFonts w:ascii="Times New Roman" w:hAnsi="Times New Roman" w:cs="Times New Roman"/>
                <w:sz w:val="28"/>
                <w:szCs w:val="28"/>
              </w:rPr>
              <w:t xml:space="preserve">видається </w:t>
            </w:r>
            <w:r w:rsidRPr="00546929">
              <w:rPr>
                <w:rFonts w:ascii="Times New Roman" w:hAnsi="Times New Roman" w:cs="Times New Roman"/>
                <w:sz w:val="28"/>
                <w:szCs w:val="28"/>
              </w:rPr>
              <w:t>особисто оператору</w:t>
            </w:r>
            <w:r w:rsidR="00B52A71">
              <w:rPr>
                <w:rFonts w:ascii="Times New Roman" w:hAnsi="Times New Roman" w:cs="Times New Roman"/>
                <w:sz w:val="28"/>
                <w:szCs w:val="28"/>
              </w:rPr>
              <w:t xml:space="preserve"> ринку або надсилається </w:t>
            </w:r>
            <w:r w:rsidRPr="00546929">
              <w:rPr>
                <w:rFonts w:ascii="Times New Roman" w:hAnsi="Times New Roman" w:cs="Times New Roman"/>
                <w:sz w:val="28"/>
                <w:szCs w:val="28"/>
              </w:rPr>
              <w:t xml:space="preserve"> йому </w:t>
            </w:r>
            <w:r w:rsidR="00B52A71" w:rsidRPr="00546929">
              <w:rPr>
                <w:rFonts w:ascii="Times New Roman" w:hAnsi="Times New Roman" w:cs="Times New Roman"/>
                <w:sz w:val="28"/>
                <w:szCs w:val="28"/>
              </w:rPr>
              <w:t>поштовим відправленням у строк</w:t>
            </w:r>
            <w:r w:rsidR="00B52A71">
              <w:rPr>
                <w:rFonts w:ascii="Times New Roman" w:hAnsi="Times New Roman" w:cs="Times New Roman"/>
                <w:sz w:val="28"/>
                <w:szCs w:val="28"/>
              </w:rPr>
              <w:t xml:space="preserve">, </w:t>
            </w:r>
            <w:r w:rsidR="00B52A71" w:rsidRPr="00546929">
              <w:rPr>
                <w:rFonts w:ascii="Times New Roman" w:hAnsi="Times New Roman" w:cs="Times New Roman"/>
                <w:sz w:val="28"/>
                <w:szCs w:val="28"/>
              </w:rPr>
              <w:t>встановлений для видачі експлуатаційного дозволу,  але не пізніше трьох робочих днів з дня прийняття рішення про видачу експлуатаційного дозволу</w:t>
            </w:r>
            <w:r w:rsidR="00B52A71">
              <w:rPr>
                <w:rFonts w:ascii="Times New Roman" w:hAnsi="Times New Roman" w:cs="Times New Roman"/>
                <w:sz w:val="28"/>
                <w:szCs w:val="28"/>
              </w:rPr>
              <w:t>.</w:t>
            </w:r>
          </w:p>
          <w:p w14:paraId="1C3928D9" w14:textId="677388AC" w:rsidR="004D6F9F"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Копія рішення про відмову у видачі експлуатаційного дозволу повинна бути надана (надіслана поштовим відправленням) оператору ринку в строк, встановлений для видачі експлуатаційного дозволу, але не пізніше трьох робочих днів з дня прийняття такого рішення</w:t>
            </w:r>
          </w:p>
        </w:tc>
      </w:tr>
      <w:tr w:rsidR="00AA2388" w14:paraId="4D303822" w14:textId="77777777" w:rsidTr="001226ED">
        <w:tc>
          <w:tcPr>
            <w:tcW w:w="704" w:type="dxa"/>
          </w:tcPr>
          <w:p w14:paraId="11209AAD" w14:textId="06B811E3" w:rsidR="00AA2388" w:rsidRPr="00546929" w:rsidRDefault="00546929" w:rsidP="006F65E5">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3827" w:type="dxa"/>
          </w:tcPr>
          <w:p w14:paraId="2ADAA8E1" w14:textId="59D73823" w:rsidR="00AA2388"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Примітка</w:t>
            </w:r>
          </w:p>
        </w:tc>
        <w:tc>
          <w:tcPr>
            <w:tcW w:w="5098" w:type="dxa"/>
          </w:tcPr>
          <w:p w14:paraId="11AA37D9" w14:textId="77777777" w:rsid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Відповідно до статті 14 Закону України «Про безпечність та гігієну кормів» та постанови Кабінету Міністрів України від 18 серпня 2021 року № 884 «Деякі питання реалізації Закону України «Про безпечність та гігієну кормів» встановлено: </w:t>
            </w:r>
          </w:p>
          <w:p w14:paraId="218D84E6" w14:textId="32CD8669" w:rsidR="00AA2388" w:rsidRPr="00546929" w:rsidRDefault="00546929" w:rsidP="00546929">
            <w:pPr>
              <w:rPr>
                <w:rFonts w:ascii="Times New Roman" w:hAnsi="Times New Roman" w:cs="Times New Roman"/>
                <w:sz w:val="28"/>
                <w:szCs w:val="28"/>
              </w:rPr>
            </w:pPr>
            <w:r w:rsidRPr="00546929">
              <w:rPr>
                <w:rFonts w:ascii="Times New Roman" w:hAnsi="Times New Roman" w:cs="Times New Roman"/>
                <w:sz w:val="28"/>
                <w:szCs w:val="28"/>
              </w:rPr>
              <w:t xml:space="preserve">1. Одночасно з </w:t>
            </w:r>
            <w:proofErr w:type="spellStart"/>
            <w:r w:rsidRPr="00546929">
              <w:rPr>
                <w:rFonts w:ascii="Times New Roman" w:hAnsi="Times New Roman" w:cs="Times New Roman"/>
                <w:sz w:val="28"/>
                <w:szCs w:val="28"/>
              </w:rPr>
              <w:t>видачею</w:t>
            </w:r>
            <w:proofErr w:type="spellEnd"/>
            <w:r w:rsidRPr="00546929">
              <w:rPr>
                <w:rFonts w:ascii="Times New Roman" w:hAnsi="Times New Roman" w:cs="Times New Roman"/>
                <w:sz w:val="28"/>
                <w:szCs w:val="28"/>
              </w:rPr>
              <w:t xml:space="preserve"> (поновленням) експлуатаційного дозволу на потужність (після прийняття рішення про видачу експлуатаційного дозволу, але не пізніше дня його видачі (надсилання) оператору ринку) територіальний Держпродспоживслужби орган вносить відомості про таку потужність та відповідного оператора ринку до Державного реєстру </w:t>
            </w:r>
            <w:proofErr w:type="spellStart"/>
            <w:r w:rsidRPr="00546929">
              <w:rPr>
                <w:rFonts w:ascii="Times New Roman" w:hAnsi="Times New Roman" w:cs="Times New Roman"/>
                <w:sz w:val="28"/>
                <w:szCs w:val="28"/>
              </w:rPr>
              <w:t>потужностей</w:t>
            </w:r>
            <w:proofErr w:type="spellEnd"/>
            <w:r w:rsidRPr="00546929">
              <w:rPr>
                <w:rFonts w:ascii="Times New Roman" w:hAnsi="Times New Roman" w:cs="Times New Roman"/>
                <w:sz w:val="28"/>
                <w:szCs w:val="28"/>
              </w:rPr>
              <w:t xml:space="preserve"> з виробництва та обігу кормів.</w:t>
            </w:r>
          </w:p>
        </w:tc>
      </w:tr>
    </w:tbl>
    <w:p w14:paraId="0979C28F" w14:textId="77777777" w:rsidR="006F65E5" w:rsidRPr="006F65E5" w:rsidRDefault="006F65E5" w:rsidP="006F65E5">
      <w:pPr>
        <w:spacing w:after="0" w:line="240" w:lineRule="auto"/>
        <w:jc w:val="center"/>
        <w:rPr>
          <w:rFonts w:ascii="Times New Roman" w:hAnsi="Times New Roman" w:cs="Times New Roman"/>
          <w:sz w:val="24"/>
          <w:szCs w:val="24"/>
        </w:rPr>
      </w:pPr>
    </w:p>
    <w:sectPr w:rsidR="006F65E5" w:rsidRPr="006F65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5"/>
    <w:rsid w:val="001226ED"/>
    <w:rsid w:val="0049618C"/>
    <w:rsid w:val="004D6F9F"/>
    <w:rsid w:val="0054190C"/>
    <w:rsid w:val="00546929"/>
    <w:rsid w:val="006208AF"/>
    <w:rsid w:val="00670F41"/>
    <w:rsid w:val="006E5765"/>
    <w:rsid w:val="006F65E5"/>
    <w:rsid w:val="007B18CE"/>
    <w:rsid w:val="007D62A2"/>
    <w:rsid w:val="00893132"/>
    <w:rsid w:val="00AA2388"/>
    <w:rsid w:val="00B44C20"/>
    <w:rsid w:val="00B52A71"/>
    <w:rsid w:val="00BA5557"/>
    <w:rsid w:val="00D25FEB"/>
    <w:rsid w:val="00D53F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9768"/>
  <w15:chartTrackingRefBased/>
  <w15:docId w15:val="{109F5877-B427-4B12-9B56-317B4405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4FDA-C764-40EF-A0E9-4B3A06FB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6005</Words>
  <Characters>3423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2025-11-19T10:51:00Z</dcterms:created>
  <dcterms:modified xsi:type="dcterms:W3CDTF">2025-11-20T10:05:00Z</dcterms:modified>
</cp:coreProperties>
</file>